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AAE" w:rsidRPr="009B0953" w:rsidRDefault="00DA4C2C" w:rsidP="00DA66DC">
      <w:pPr>
        <w:outlineLvl w:val="0"/>
        <w:rPr>
          <w:b/>
          <w:sz w:val="28"/>
          <w:szCs w:val="28"/>
        </w:rPr>
      </w:pPr>
      <w:bookmarkStart w:id="0" w:name="_GoBack"/>
      <w:bookmarkEnd w:id="0"/>
      <w:r>
        <w:rPr>
          <w:b/>
          <w:noProof/>
          <w:sz w:val="28"/>
          <w:szCs w:val="28"/>
        </w:rPr>
        <w:drawing>
          <wp:anchor distT="0" distB="0" distL="114300" distR="114300" simplePos="0" relativeHeight="251658240" behindDoc="1" locked="0" layoutInCell="1" allowOverlap="1" wp14:anchorId="0821F900" wp14:editId="1A5A2FBF">
            <wp:simplePos x="0" y="0"/>
            <wp:positionH relativeFrom="column">
              <wp:posOffset>4010025</wp:posOffset>
            </wp:positionH>
            <wp:positionV relativeFrom="paragraph">
              <wp:posOffset>0</wp:posOffset>
            </wp:positionV>
            <wp:extent cx="1685290" cy="979170"/>
            <wp:effectExtent l="0" t="0" r="0" b="0"/>
            <wp:wrapTight wrapText="bothSides">
              <wp:wrapPolygon edited="0">
                <wp:start x="0" y="0"/>
                <wp:lineTo x="0" y="21012"/>
                <wp:lineTo x="21242" y="21012"/>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jpg"/>
                    <pic:cNvPicPr/>
                  </pic:nvPicPr>
                  <pic:blipFill>
                    <a:blip r:embed="rId4">
                      <a:extLst>
                        <a:ext uri="{28A0092B-C50C-407E-A947-70E740481C1C}">
                          <a14:useLocalDpi xmlns:a14="http://schemas.microsoft.com/office/drawing/2010/main" val="0"/>
                        </a:ext>
                      </a:extLst>
                    </a:blip>
                    <a:stretch>
                      <a:fillRect/>
                    </a:stretch>
                  </pic:blipFill>
                  <pic:spPr>
                    <a:xfrm>
                      <a:off x="0" y="0"/>
                      <a:ext cx="1685290" cy="979170"/>
                    </a:xfrm>
                    <a:prstGeom prst="rect">
                      <a:avLst/>
                    </a:prstGeom>
                  </pic:spPr>
                </pic:pic>
              </a:graphicData>
            </a:graphic>
            <wp14:sizeRelH relativeFrom="page">
              <wp14:pctWidth>0</wp14:pctWidth>
            </wp14:sizeRelH>
            <wp14:sizeRelV relativeFrom="page">
              <wp14:pctHeight>0</wp14:pctHeight>
            </wp14:sizeRelV>
          </wp:anchor>
        </w:drawing>
      </w:r>
      <w:r w:rsidR="003B2AAE">
        <w:rPr>
          <w:b/>
          <w:sz w:val="28"/>
          <w:szCs w:val="28"/>
        </w:rPr>
        <w:t xml:space="preserve">Invitation to competitors and </w:t>
      </w:r>
      <w:r w:rsidR="002412DC">
        <w:rPr>
          <w:b/>
          <w:sz w:val="28"/>
          <w:szCs w:val="28"/>
        </w:rPr>
        <w:t>Bulletin 1</w:t>
      </w:r>
      <w:r w:rsidR="002412DC">
        <w:rPr>
          <w:b/>
          <w:sz w:val="28"/>
          <w:szCs w:val="28"/>
        </w:rPr>
        <w:br/>
      </w:r>
      <w:r w:rsidR="003B2AAE">
        <w:rPr>
          <w:b/>
          <w:sz w:val="28"/>
          <w:szCs w:val="28"/>
        </w:rPr>
        <w:t>National Orienteering League</w:t>
      </w:r>
    </w:p>
    <w:p w:rsidR="003B2AAE" w:rsidRPr="009B0953" w:rsidRDefault="003B2AAE" w:rsidP="00F075B7">
      <w:pPr>
        <w:rPr>
          <w:b/>
          <w:sz w:val="24"/>
          <w:szCs w:val="24"/>
        </w:rPr>
      </w:pPr>
      <w:r w:rsidRPr="009B0953">
        <w:rPr>
          <w:b/>
          <w:sz w:val="24"/>
          <w:szCs w:val="24"/>
        </w:rPr>
        <w:t>Australian Orienteering Championships, 2014</w:t>
      </w:r>
    </w:p>
    <w:p w:rsidR="002412DC" w:rsidRDefault="002412DC" w:rsidP="002412DC">
      <w:r>
        <w:t>The information required for competitors in</w:t>
      </w:r>
      <w:r w:rsidR="00405056">
        <w:t xml:space="preserve"> the four</w:t>
      </w:r>
      <w:r>
        <w:t xml:space="preserve"> Silva NOL events during </w:t>
      </w:r>
      <w:proofErr w:type="spellStart"/>
      <w:r>
        <w:t>Karrak</w:t>
      </w:r>
      <w:proofErr w:type="spellEnd"/>
      <w:r>
        <w:t xml:space="preserve"> </w:t>
      </w:r>
      <w:proofErr w:type="spellStart"/>
      <w:r>
        <w:t>Karnival</w:t>
      </w:r>
      <w:proofErr w:type="spellEnd"/>
      <w:r>
        <w:t xml:space="preserve">, the 2014 Australian foot-O championship carnival, is included in the information provided for all participants on the carnival website </w:t>
      </w:r>
      <w:hyperlink r:id="rId5" w:history="1">
        <w:r w:rsidR="00DA4C2C" w:rsidRPr="006A1DB6">
          <w:rPr>
            <w:rStyle w:val="Hyperlink"/>
          </w:rPr>
          <w:t>http://wa.orienteering.asn.au/karrak-karnival</w:t>
        </w:r>
      </w:hyperlink>
      <w:r>
        <w:t xml:space="preserve">  Direct links are compiled below.</w:t>
      </w:r>
    </w:p>
    <w:p w:rsidR="002412DC" w:rsidRDefault="002412DC" w:rsidP="002412DC">
      <w:proofErr w:type="spellStart"/>
      <w:r w:rsidRPr="00675F06">
        <w:rPr>
          <w:b/>
        </w:rPr>
        <w:t>Karrak</w:t>
      </w:r>
      <w:proofErr w:type="spellEnd"/>
      <w:r w:rsidRPr="00675F06">
        <w:rPr>
          <w:b/>
        </w:rPr>
        <w:t xml:space="preserve"> </w:t>
      </w:r>
      <w:proofErr w:type="spellStart"/>
      <w:r w:rsidRPr="00675F06">
        <w:rPr>
          <w:b/>
        </w:rPr>
        <w:t>Karnival</w:t>
      </w:r>
      <w:proofErr w:type="spellEnd"/>
      <w:r w:rsidRPr="00675F06">
        <w:rPr>
          <w:b/>
        </w:rPr>
        <w:t xml:space="preserve"> organizing committee</w:t>
      </w:r>
      <w:r w:rsidRPr="00675F06">
        <w:rPr>
          <w:b/>
        </w:rPr>
        <w:br/>
      </w:r>
      <w:r>
        <w:t xml:space="preserve">Ken </w:t>
      </w:r>
      <w:proofErr w:type="spellStart"/>
      <w:r>
        <w:t>Brownlie</w:t>
      </w:r>
      <w:proofErr w:type="spellEnd"/>
      <w:r>
        <w:t xml:space="preserve"> – </w:t>
      </w:r>
      <w:proofErr w:type="spellStart"/>
      <w:r>
        <w:t>Organisation</w:t>
      </w:r>
      <w:proofErr w:type="spellEnd"/>
      <w:r>
        <w:br/>
        <w:t>Ian Fletcher – Technical</w:t>
      </w:r>
      <w:r>
        <w:br/>
        <w:t xml:space="preserve">Carol </w:t>
      </w:r>
      <w:proofErr w:type="spellStart"/>
      <w:r>
        <w:t>Brownlie</w:t>
      </w:r>
      <w:proofErr w:type="spellEnd"/>
      <w:r>
        <w:t xml:space="preserve">, Jan Fletcher – Secretarial and </w:t>
      </w:r>
      <w:proofErr w:type="spellStart"/>
      <w:r>
        <w:t>organisation</w:t>
      </w:r>
      <w:proofErr w:type="spellEnd"/>
    </w:p>
    <w:p w:rsidR="002412DC" w:rsidRDefault="002412DC" w:rsidP="002412DC">
      <w:pPr>
        <w:rPr>
          <w:rStyle w:val="Hyperlink"/>
        </w:rPr>
      </w:pPr>
      <w:r w:rsidRPr="00675F06">
        <w:rPr>
          <w:b/>
        </w:rPr>
        <w:t>Contacts</w:t>
      </w:r>
      <w:r w:rsidRPr="00675F06">
        <w:rPr>
          <w:b/>
        </w:rPr>
        <w:br/>
      </w:r>
      <w:r>
        <w:t xml:space="preserve">Enquiries to the carnival </w:t>
      </w:r>
      <w:proofErr w:type="spellStart"/>
      <w:r>
        <w:t>organisers</w:t>
      </w:r>
      <w:proofErr w:type="spellEnd"/>
      <w:r>
        <w:t xml:space="preserve"> and for transmission to event </w:t>
      </w:r>
      <w:proofErr w:type="spellStart"/>
      <w:r>
        <w:t>organisers</w:t>
      </w:r>
      <w:proofErr w:type="spellEnd"/>
      <w:r>
        <w:t xml:space="preserve"> should be made through the</w:t>
      </w:r>
      <w:r w:rsidRPr="00556B1B">
        <w:rPr>
          <w:color w:val="7030A0"/>
        </w:rPr>
        <w:t xml:space="preserve"> </w:t>
      </w:r>
      <w:hyperlink r:id="rId6" w:history="1">
        <w:r w:rsidR="00DA4C2C" w:rsidRPr="006A1DB6">
          <w:rPr>
            <w:rStyle w:val="Hyperlink"/>
          </w:rPr>
          <w:t>http://wa.orienteering.asn.au/karrak-contacts</w:t>
        </w:r>
      </w:hyperlink>
      <w:r>
        <w:rPr>
          <w:color w:val="7030A0"/>
          <w:u w:val="single"/>
        </w:rPr>
        <w:t xml:space="preserve"> </w:t>
      </w:r>
      <w:r>
        <w:t xml:space="preserve">link on the website front page. There is additional contact information for each event in the relevant event page in </w:t>
      </w:r>
      <w:proofErr w:type="spellStart"/>
      <w:r w:rsidRPr="00556B1B">
        <w:rPr>
          <w:color w:val="000000"/>
        </w:rPr>
        <w:t>Eventor</w:t>
      </w:r>
      <w:proofErr w:type="spellEnd"/>
      <w:r w:rsidRPr="00556B1B">
        <w:rPr>
          <w:color w:val="000000"/>
          <w:u w:val="single"/>
        </w:rPr>
        <w:t xml:space="preserve"> </w:t>
      </w:r>
      <w:hyperlink r:id="rId7" w:history="1">
        <w:r w:rsidRPr="008B2902">
          <w:rPr>
            <w:rStyle w:val="Hyperlink"/>
          </w:rPr>
          <w:t>http://eventor.orienteering.asn.au/Events</w:t>
        </w:r>
      </w:hyperlink>
    </w:p>
    <w:p w:rsidR="003B2AAE" w:rsidRDefault="003B2AAE" w:rsidP="002412DC">
      <w:r>
        <w:rPr>
          <w:b/>
        </w:rPr>
        <w:t>Event dates and status</w:t>
      </w:r>
      <w:r w:rsidRPr="00675F06">
        <w:rPr>
          <w:b/>
        </w:rPr>
        <w:br/>
      </w:r>
      <w:r w:rsidRPr="00405056">
        <w:t>Australian Middle Distance championships, Sunday 28</w:t>
      </w:r>
      <w:r w:rsidRPr="00405056">
        <w:rPr>
          <w:vertAlign w:val="superscript"/>
        </w:rPr>
        <w:t>th</w:t>
      </w:r>
      <w:r w:rsidRPr="00405056">
        <w:t xml:space="preserve"> September [NOL and WRE</w:t>
      </w:r>
      <w:proofErr w:type="gramStart"/>
      <w:r w:rsidRPr="00405056">
        <w:t>]</w:t>
      </w:r>
      <w:proofErr w:type="gramEnd"/>
      <w:r w:rsidRPr="00405056">
        <w:br/>
        <w:t>Australian Sprint Championships, Monday 29</w:t>
      </w:r>
      <w:r w:rsidRPr="00405056">
        <w:rPr>
          <w:vertAlign w:val="superscript"/>
        </w:rPr>
        <w:t>th</w:t>
      </w:r>
      <w:r w:rsidRPr="00405056">
        <w:t xml:space="preserve"> September [NOL and WRE]</w:t>
      </w:r>
      <w:r w:rsidRPr="00405056">
        <w:br/>
        <w:t>Australian Long Distance Championships, Saturday 4</w:t>
      </w:r>
      <w:r w:rsidRPr="00405056">
        <w:rPr>
          <w:vertAlign w:val="superscript"/>
        </w:rPr>
        <w:t>th</w:t>
      </w:r>
      <w:r w:rsidRPr="00405056">
        <w:t xml:space="preserve"> October [NOL and WRE]</w:t>
      </w:r>
      <w:r w:rsidRPr="00405056">
        <w:br/>
        <w:t>Australian Relay Championships, Sunday 5</w:t>
      </w:r>
      <w:r w:rsidRPr="00405056">
        <w:rPr>
          <w:vertAlign w:val="superscript"/>
        </w:rPr>
        <w:t>th</w:t>
      </w:r>
      <w:r w:rsidRPr="00405056">
        <w:t xml:space="preserve"> October [NOL]</w:t>
      </w:r>
    </w:p>
    <w:p w:rsidR="002412DC" w:rsidRDefault="00405056" w:rsidP="00425F64">
      <w:pPr>
        <w:rPr>
          <w:rStyle w:val="Hyperlink"/>
        </w:rPr>
      </w:pPr>
      <w:r>
        <w:rPr>
          <w:b/>
        </w:rPr>
        <w:t>Event locations</w:t>
      </w:r>
      <w:r>
        <w:br/>
      </w:r>
      <w:proofErr w:type="gramStart"/>
      <w:r w:rsidR="002412DC">
        <w:t>The</w:t>
      </w:r>
      <w:proofErr w:type="gramEnd"/>
      <w:r w:rsidR="002412DC">
        <w:t xml:space="preserve"> locations of all events in </w:t>
      </w:r>
      <w:proofErr w:type="spellStart"/>
      <w:r w:rsidR="002412DC">
        <w:t>Karrak</w:t>
      </w:r>
      <w:proofErr w:type="spellEnd"/>
      <w:r w:rsidR="002412DC">
        <w:t xml:space="preserve"> </w:t>
      </w:r>
      <w:proofErr w:type="spellStart"/>
      <w:r w:rsidR="002412DC">
        <w:t>Karnival</w:t>
      </w:r>
      <w:proofErr w:type="spellEnd"/>
      <w:r w:rsidR="002412DC">
        <w:t xml:space="preserve"> are shown on the map at </w:t>
      </w:r>
      <w:hyperlink r:id="rId8" w:history="1">
        <w:r w:rsidR="00DA4C2C" w:rsidRPr="006A1DB6">
          <w:rPr>
            <w:rStyle w:val="Hyperlink"/>
          </w:rPr>
          <w:t>http://wa.orienteering.asn.au/karrak-events/event-locations</w:t>
        </w:r>
      </w:hyperlink>
    </w:p>
    <w:p w:rsidR="002412DC" w:rsidRDefault="002412DC" w:rsidP="002412DC">
      <w:pPr>
        <w:spacing w:after="0"/>
      </w:pPr>
      <w:r>
        <w:rPr>
          <w:b/>
        </w:rPr>
        <w:t>Event information</w:t>
      </w:r>
      <w:r w:rsidRPr="00675F06">
        <w:rPr>
          <w:b/>
        </w:rPr>
        <w:br/>
      </w:r>
      <w:r>
        <w:t>Event personnel, approximate driving distances, competition classes, course lengths, map specifications and brief terrain descriptions are among the information for each event at</w:t>
      </w:r>
      <w:r>
        <w:br/>
      </w:r>
      <w:hyperlink r:id="rId9" w:anchor="AUST._MIDDLE" w:history="1">
        <w:r w:rsidR="00DA4C2C" w:rsidRPr="006A1DB6">
          <w:rPr>
            <w:rStyle w:val="Hyperlink"/>
          </w:rPr>
          <w:t>http://wa.orienteering.asn.au/karrak-events/event-details#AUST._MIDDLE</w:t>
        </w:r>
      </w:hyperlink>
      <w:r>
        <w:t xml:space="preserve"> </w:t>
      </w:r>
    </w:p>
    <w:p w:rsidR="002412DC" w:rsidRDefault="005E666C" w:rsidP="002412DC">
      <w:pPr>
        <w:spacing w:after="0"/>
        <w:rPr>
          <w:color w:val="7030A0"/>
          <w:u w:val="single"/>
        </w:rPr>
      </w:pPr>
      <w:hyperlink r:id="rId10" w:anchor="AUST._SPRINT" w:history="1">
        <w:r w:rsidR="00DA4C2C" w:rsidRPr="006A1DB6">
          <w:rPr>
            <w:rStyle w:val="Hyperlink"/>
          </w:rPr>
          <w:t>http://wa.orienteering.asn.au/karrak-events/event-details#AUST._SPRINT</w:t>
        </w:r>
      </w:hyperlink>
      <w:r w:rsidR="002412DC">
        <w:rPr>
          <w:color w:val="7030A0"/>
          <w:u w:val="single"/>
        </w:rPr>
        <w:t xml:space="preserve"> </w:t>
      </w:r>
    </w:p>
    <w:p w:rsidR="002412DC" w:rsidRDefault="005E666C" w:rsidP="002412DC">
      <w:pPr>
        <w:spacing w:after="0"/>
        <w:rPr>
          <w:color w:val="7030A0"/>
          <w:u w:val="single"/>
        </w:rPr>
      </w:pPr>
      <w:hyperlink r:id="rId11" w:anchor="AUST._LONG" w:history="1">
        <w:r w:rsidR="00DA4C2C" w:rsidRPr="006A1DB6">
          <w:rPr>
            <w:rStyle w:val="Hyperlink"/>
          </w:rPr>
          <w:t>http://wa.orienteering.asn.au/karrak-events/event-details#AUST._LONG</w:t>
        </w:r>
      </w:hyperlink>
      <w:r w:rsidR="002412DC">
        <w:rPr>
          <w:color w:val="7030A0"/>
          <w:u w:val="single"/>
        </w:rPr>
        <w:t xml:space="preserve"> </w:t>
      </w:r>
    </w:p>
    <w:p w:rsidR="00DA4C2C" w:rsidRDefault="005E666C" w:rsidP="002412DC">
      <w:pPr>
        <w:spacing w:after="0"/>
        <w:rPr>
          <w:color w:val="7030A0"/>
          <w:u w:val="single"/>
        </w:rPr>
      </w:pPr>
      <w:hyperlink r:id="rId12" w:anchor="AUST._RELAYS" w:history="1">
        <w:r w:rsidR="00DA4C2C" w:rsidRPr="006A1DB6">
          <w:rPr>
            <w:rStyle w:val="Hyperlink"/>
          </w:rPr>
          <w:t>http://wa.orienteering.asn.au/karrak-events/event-details#AUST._RELAYS</w:t>
        </w:r>
      </w:hyperlink>
      <w:r w:rsidR="00DA4C2C">
        <w:rPr>
          <w:color w:val="7030A0"/>
          <w:u w:val="single"/>
        </w:rPr>
        <w:t xml:space="preserve"> </w:t>
      </w:r>
    </w:p>
    <w:p w:rsidR="002412DC" w:rsidRPr="00050076" w:rsidRDefault="002412DC" w:rsidP="002412DC">
      <w:pPr>
        <w:spacing w:after="0"/>
        <w:rPr>
          <w:color w:val="000000"/>
        </w:rPr>
      </w:pPr>
      <w:r w:rsidRPr="00050076">
        <w:rPr>
          <w:color w:val="000000"/>
        </w:rPr>
        <w:t>There are no specific clothing requirements but full leg covering is recommended</w:t>
      </w:r>
      <w:r>
        <w:rPr>
          <w:color w:val="000000"/>
        </w:rPr>
        <w:t xml:space="preserve"> for all events</w:t>
      </w:r>
      <w:r w:rsidRPr="00050076">
        <w:rPr>
          <w:color w:val="000000"/>
        </w:rPr>
        <w:t>.</w:t>
      </w:r>
      <w:r>
        <w:rPr>
          <w:color w:val="000000"/>
        </w:rPr>
        <w:br/>
        <w:t>Approximate course lengths (straight line) and planned winning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607"/>
        <w:gridCol w:w="614"/>
        <w:gridCol w:w="495"/>
        <w:gridCol w:w="626"/>
        <w:gridCol w:w="495"/>
        <w:gridCol w:w="614"/>
        <w:gridCol w:w="607"/>
        <w:gridCol w:w="626"/>
      </w:tblGrid>
      <w:tr w:rsidR="002412DC" w:rsidTr="00CD716C">
        <w:tc>
          <w:tcPr>
            <w:tcW w:w="0" w:type="auto"/>
          </w:tcPr>
          <w:p w:rsidR="002412DC" w:rsidRPr="000C0DAF" w:rsidRDefault="002412DC" w:rsidP="004D4137">
            <w:pPr>
              <w:spacing w:after="0" w:line="240" w:lineRule="auto"/>
              <w:rPr>
                <w:color w:val="000000"/>
              </w:rPr>
            </w:pPr>
          </w:p>
        </w:tc>
        <w:tc>
          <w:tcPr>
            <w:tcW w:w="0" w:type="auto"/>
            <w:gridSpan w:val="2"/>
          </w:tcPr>
          <w:p w:rsidR="002412DC" w:rsidRPr="000C0DAF" w:rsidRDefault="002412DC" w:rsidP="004D4137">
            <w:pPr>
              <w:spacing w:after="0" w:line="240" w:lineRule="auto"/>
              <w:jc w:val="center"/>
              <w:rPr>
                <w:color w:val="000000"/>
              </w:rPr>
            </w:pPr>
            <w:r w:rsidRPr="000C0DAF">
              <w:rPr>
                <w:color w:val="000000"/>
              </w:rPr>
              <w:t>W21E</w:t>
            </w:r>
          </w:p>
        </w:tc>
        <w:tc>
          <w:tcPr>
            <w:tcW w:w="0" w:type="auto"/>
            <w:gridSpan w:val="2"/>
          </w:tcPr>
          <w:p w:rsidR="002412DC" w:rsidRPr="000C0DAF" w:rsidRDefault="002412DC" w:rsidP="004D4137">
            <w:pPr>
              <w:spacing w:after="0" w:line="240" w:lineRule="auto"/>
              <w:jc w:val="center"/>
              <w:rPr>
                <w:color w:val="000000"/>
              </w:rPr>
            </w:pPr>
            <w:r>
              <w:rPr>
                <w:color w:val="000000"/>
              </w:rPr>
              <w:t>W20E</w:t>
            </w:r>
          </w:p>
        </w:tc>
        <w:tc>
          <w:tcPr>
            <w:tcW w:w="0" w:type="auto"/>
            <w:gridSpan w:val="2"/>
          </w:tcPr>
          <w:p w:rsidR="002412DC" w:rsidRPr="000C0DAF" w:rsidRDefault="002412DC" w:rsidP="004D4137">
            <w:pPr>
              <w:spacing w:after="0" w:line="240" w:lineRule="auto"/>
              <w:jc w:val="center"/>
              <w:rPr>
                <w:color w:val="000000"/>
              </w:rPr>
            </w:pPr>
            <w:r w:rsidRPr="000C0DAF">
              <w:rPr>
                <w:color w:val="000000"/>
              </w:rPr>
              <w:t>M21E</w:t>
            </w:r>
          </w:p>
        </w:tc>
        <w:tc>
          <w:tcPr>
            <w:tcW w:w="0" w:type="auto"/>
            <w:gridSpan w:val="2"/>
          </w:tcPr>
          <w:p w:rsidR="002412DC" w:rsidRPr="000C0DAF" w:rsidRDefault="002412DC" w:rsidP="004D4137">
            <w:pPr>
              <w:spacing w:after="0" w:line="240" w:lineRule="auto"/>
              <w:jc w:val="center"/>
              <w:rPr>
                <w:color w:val="000000"/>
              </w:rPr>
            </w:pPr>
            <w:r>
              <w:rPr>
                <w:color w:val="000000"/>
              </w:rPr>
              <w:t>M20E</w:t>
            </w:r>
          </w:p>
        </w:tc>
      </w:tr>
      <w:tr w:rsidR="002412DC" w:rsidTr="00F30384">
        <w:tc>
          <w:tcPr>
            <w:tcW w:w="0" w:type="auto"/>
          </w:tcPr>
          <w:p w:rsidR="002412DC" w:rsidRPr="000C0DAF" w:rsidRDefault="002412DC" w:rsidP="004D4137">
            <w:pPr>
              <w:spacing w:after="0" w:line="240" w:lineRule="auto"/>
              <w:jc w:val="center"/>
              <w:rPr>
                <w:color w:val="000000"/>
              </w:rPr>
            </w:pPr>
          </w:p>
        </w:tc>
        <w:tc>
          <w:tcPr>
            <w:tcW w:w="0" w:type="auto"/>
          </w:tcPr>
          <w:p w:rsidR="002412DC" w:rsidRPr="000C0DAF" w:rsidRDefault="002412DC" w:rsidP="004D4137">
            <w:pPr>
              <w:spacing w:after="0" w:line="240" w:lineRule="auto"/>
              <w:jc w:val="center"/>
              <w:rPr>
                <w:color w:val="000000"/>
              </w:rPr>
            </w:pPr>
            <w:r w:rsidRPr="000C0DAF">
              <w:rPr>
                <w:color w:val="000000"/>
              </w:rPr>
              <w:t>km</w:t>
            </w:r>
          </w:p>
        </w:tc>
        <w:tc>
          <w:tcPr>
            <w:tcW w:w="0" w:type="auto"/>
          </w:tcPr>
          <w:p w:rsidR="002412DC" w:rsidRPr="000C0DAF" w:rsidRDefault="002412DC" w:rsidP="004D4137">
            <w:pPr>
              <w:spacing w:after="0" w:line="240" w:lineRule="auto"/>
              <w:jc w:val="center"/>
              <w:rPr>
                <w:color w:val="000000"/>
              </w:rPr>
            </w:pPr>
            <w:r w:rsidRPr="000C0DAF">
              <w:rPr>
                <w:color w:val="000000"/>
              </w:rPr>
              <w:t>min.</w:t>
            </w:r>
          </w:p>
        </w:tc>
        <w:tc>
          <w:tcPr>
            <w:tcW w:w="0" w:type="auto"/>
          </w:tcPr>
          <w:p w:rsidR="002412DC" w:rsidRPr="000C0DAF" w:rsidRDefault="002412DC" w:rsidP="004D4137">
            <w:pPr>
              <w:spacing w:after="0" w:line="240" w:lineRule="auto"/>
              <w:jc w:val="center"/>
              <w:rPr>
                <w:color w:val="000000"/>
              </w:rPr>
            </w:pPr>
            <w:r>
              <w:rPr>
                <w:color w:val="000000"/>
              </w:rPr>
              <w:t>km</w:t>
            </w:r>
          </w:p>
        </w:tc>
        <w:tc>
          <w:tcPr>
            <w:tcW w:w="0" w:type="auto"/>
          </w:tcPr>
          <w:p w:rsidR="002412DC" w:rsidRPr="000C0DAF" w:rsidRDefault="002412DC" w:rsidP="004D4137">
            <w:pPr>
              <w:spacing w:after="0" w:line="240" w:lineRule="auto"/>
              <w:jc w:val="center"/>
              <w:rPr>
                <w:color w:val="000000"/>
              </w:rPr>
            </w:pPr>
            <w:r>
              <w:rPr>
                <w:color w:val="000000"/>
              </w:rPr>
              <w:t>Min.</w:t>
            </w:r>
          </w:p>
        </w:tc>
        <w:tc>
          <w:tcPr>
            <w:tcW w:w="0" w:type="auto"/>
          </w:tcPr>
          <w:p w:rsidR="002412DC" w:rsidRPr="000C0DAF" w:rsidRDefault="002412DC" w:rsidP="004D4137">
            <w:pPr>
              <w:spacing w:after="0" w:line="240" w:lineRule="auto"/>
              <w:jc w:val="center"/>
              <w:rPr>
                <w:color w:val="000000"/>
              </w:rPr>
            </w:pPr>
            <w:r w:rsidRPr="000C0DAF">
              <w:rPr>
                <w:color w:val="000000"/>
              </w:rPr>
              <w:t>km</w:t>
            </w:r>
          </w:p>
        </w:tc>
        <w:tc>
          <w:tcPr>
            <w:tcW w:w="0" w:type="auto"/>
          </w:tcPr>
          <w:p w:rsidR="002412DC" w:rsidRPr="000C0DAF" w:rsidRDefault="002412DC" w:rsidP="004D4137">
            <w:pPr>
              <w:spacing w:after="0" w:line="240" w:lineRule="auto"/>
              <w:jc w:val="center"/>
              <w:rPr>
                <w:color w:val="000000"/>
              </w:rPr>
            </w:pPr>
            <w:r w:rsidRPr="000C0DAF">
              <w:rPr>
                <w:color w:val="000000"/>
              </w:rPr>
              <w:t>min.</w:t>
            </w:r>
          </w:p>
        </w:tc>
        <w:tc>
          <w:tcPr>
            <w:tcW w:w="0" w:type="auto"/>
          </w:tcPr>
          <w:p w:rsidR="002412DC" w:rsidRPr="000C0DAF" w:rsidRDefault="002412DC" w:rsidP="004D4137">
            <w:pPr>
              <w:spacing w:after="0" w:line="240" w:lineRule="auto"/>
              <w:jc w:val="center"/>
              <w:rPr>
                <w:color w:val="000000"/>
              </w:rPr>
            </w:pPr>
            <w:r>
              <w:rPr>
                <w:color w:val="000000"/>
              </w:rPr>
              <w:t>km</w:t>
            </w:r>
          </w:p>
        </w:tc>
        <w:tc>
          <w:tcPr>
            <w:tcW w:w="0" w:type="auto"/>
          </w:tcPr>
          <w:p w:rsidR="002412DC" w:rsidRPr="000C0DAF" w:rsidRDefault="002412DC" w:rsidP="004D4137">
            <w:pPr>
              <w:spacing w:after="0" w:line="240" w:lineRule="auto"/>
              <w:jc w:val="center"/>
              <w:rPr>
                <w:color w:val="000000"/>
              </w:rPr>
            </w:pPr>
            <w:r>
              <w:rPr>
                <w:color w:val="000000"/>
              </w:rPr>
              <w:t>Min.</w:t>
            </w:r>
          </w:p>
        </w:tc>
      </w:tr>
      <w:tr w:rsidR="002412DC" w:rsidTr="00F30384">
        <w:tc>
          <w:tcPr>
            <w:tcW w:w="0" w:type="auto"/>
          </w:tcPr>
          <w:p w:rsidR="002412DC" w:rsidRPr="000C0DAF" w:rsidRDefault="002412DC" w:rsidP="004D4137">
            <w:pPr>
              <w:spacing w:after="0" w:line="240" w:lineRule="auto"/>
              <w:jc w:val="center"/>
              <w:rPr>
                <w:color w:val="000000"/>
              </w:rPr>
            </w:pPr>
            <w:r w:rsidRPr="000C0DAF">
              <w:rPr>
                <w:color w:val="000000"/>
              </w:rPr>
              <w:t>Middle Distance</w:t>
            </w:r>
          </w:p>
        </w:tc>
        <w:tc>
          <w:tcPr>
            <w:tcW w:w="0" w:type="auto"/>
          </w:tcPr>
          <w:p w:rsidR="002412DC" w:rsidRPr="000C0DAF" w:rsidRDefault="002412DC" w:rsidP="004D4137">
            <w:pPr>
              <w:spacing w:after="0" w:line="240" w:lineRule="auto"/>
              <w:jc w:val="center"/>
              <w:rPr>
                <w:color w:val="000000"/>
              </w:rPr>
            </w:pPr>
            <w:r w:rsidRPr="000C0DAF">
              <w:rPr>
                <w:color w:val="000000"/>
              </w:rPr>
              <w:t>5.1</w:t>
            </w:r>
          </w:p>
        </w:tc>
        <w:tc>
          <w:tcPr>
            <w:tcW w:w="0" w:type="auto"/>
          </w:tcPr>
          <w:p w:rsidR="002412DC" w:rsidRPr="000C0DAF" w:rsidRDefault="002412DC" w:rsidP="004D4137">
            <w:pPr>
              <w:spacing w:after="0" w:line="240" w:lineRule="auto"/>
              <w:jc w:val="center"/>
              <w:rPr>
                <w:color w:val="000000"/>
              </w:rPr>
            </w:pPr>
            <w:r w:rsidRPr="000C0DAF">
              <w:rPr>
                <w:color w:val="000000"/>
              </w:rPr>
              <w:t>33</w:t>
            </w:r>
          </w:p>
        </w:tc>
        <w:tc>
          <w:tcPr>
            <w:tcW w:w="0" w:type="auto"/>
          </w:tcPr>
          <w:p w:rsidR="002412DC" w:rsidRPr="000C0DAF" w:rsidRDefault="000F7569" w:rsidP="004D4137">
            <w:pPr>
              <w:spacing w:after="0" w:line="240" w:lineRule="auto"/>
              <w:jc w:val="center"/>
              <w:rPr>
                <w:color w:val="000000"/>
              </w:rPr>
            </w:pPr>
            <w:r>
              <w:rPr>
                <w:color w:val="000000"/>
              </w:rPr>
              <w:t>4.1</w:t>
            </w:r>
          </w:p>
        </w:tc>
        <w:tc>
          <w:tcPr>
            <w:tcW w:w="0" w:type="auto"/>
          </w:tcPr>
          <w:p w:rsidR="002412DC" w:rsidRPr="000C0DAF" w:rsidRDefault="0019690E" w:rsidP="004D4137">
            <w:pPr>
              <w:spacing w:after="0" w:line="240" w:lineRule="auto"/>
              <w:jc w:val="center"/>
              <w:rPr>
                <w:color w:val="000000"/>
              </w:rPr>
            </w:pPr>
            <w:r>
              <w:rPr>
                <w:color w:val="000000"/>
              </w:rPr>
              <w:t>33</w:t>
            </w:r>
          </w:p>
        </w:tc>
        <w:tc>
          <w:tcPr>
            <w:tcW w:w="0" w:type="auto"/>
          </w:tcPr>
          <w:p w:rsidR="002412DC" w:rsidRPr="000C0DAF" w:rsidRDefault="002412DC" w:rsidP="004D4137">
            <w:pPr>
              <w:spacing w:after="0" w:line="240" w:lineRule="auto"/>
              <w:jc w:val="center"/>
              <w:rPr>
                <w:color w:val="000000"/>
              </w:rPr>
            </w:pPr>
            <w:r w:rsidRPr="000C0DAF">
              <w:rPr>
                <w:color w:val="000000"/>
              </w:rPr>
              <w:t>6.2</w:t>
            </w:r>
          </w:p>
        </w:tc>
        <w:tc>
          <w:tcPr>
            <w:tcW w:w="0" w:type="auto"/>
          </w:tcPr>
          <w:p w:rsidR="002412DC" w:rsidRPr="000C0DAF" w:rsidRDefault="002412DC" w:rsidP="004D4137">
            <w:pPr>
              <w:spacing w:after="0" w:line="240" w:lineRule="auto"/>
              <w:jc w:val="center"/>
              <w:rPr>
                <w:color w:val="000000"/>
              </w:rPr>
            </w:pPr>
            <w:r w:rsidRPr="000C0DAF">
              <w:rPr>
                <w:color w:val="000000"/>
              </w:rPr>
              <w:t>33</w:t>
            </w:r>
          </w:p>
        </w:tc>
        <w:tc>
          <w:tcPr>
            <w:tcW w:w="0" w:type="auto"/>
          </w:tcPr>
          <w:p w:rsidR="002412DC" w:rsidRPr="000C0DAF" w:rsidRDefault="000F7569" w:rsidP="004D4137">
            <w:pPr>
              <w:spacing w:after="0" w:line="240" w:lineRule="auto"/>
              <w:jc w:val="center"/>
              <w:rPr>
                <w:color w:val="000000"/>
              </w:rPr>
            </w:pPr>
            <w:r>
              <w:rPr>
                <w:color w:val="000000"/>
              </w:rPr>
              <w:t>6.2</w:t>
            </w:r>
          </w:p>
        </w:tc>
        <w:tc>
          <w:tcPr>
            <w:tcW w:w="0" w:type="auto"/>
          </w:tcPr>
          <w:p w:rsidR="002412DC" w:rsidRPr="000C0DAF" w:rsidRDefault="0019690E" w:rsidP="004D4137">
            <w:pPr>
              <w:spacing w:after="0" w:line="240" w:lineRule="auto"/>
              <w:jc w:val="center"/>
              <w:rPr>
                <w:color w:val="000000"/>
              </w:rPr>
            </w:pPr>
            <w:r>
              <w:rPr>
                <w:color w:val="000000"/>
              </w:rPr>
              <w:t>33</w:t>
            </w:r>
          </w:p>
        </w:tc>
      </w:tr>
      <w:tr w:rsidR="002412DC" w:rsidTr="00F30384">
        <w:tc>
          <w:tcPr>
            <w:tcW w:w="0" w:type="auto"/>
          </w:tcPr>
          <w:p w:rsidR="002412DC" w:rsidRPr="000C0DAF" w:rsidRDefault="002412DC" w:rsidP="004D4137">
            <w:pPr>
              <w:spacing w:after="0" w:line="240" w:lineRule="auto"/>
              <w:rPr>
                <w:color w:val="000000"/>
              </w:rPr>
            </w:pPr>
            <w:r w:rsidRPr="000C0DAF">
              <w:rPr>
                <w:color w:val="000000"/>
              </w:rPr>
              <w:t>Sprint</w:t>
            </w:r>
          </w:p>
        </w:tc>
        <w:tc>
          <w:tcPr>
            <w:tcW w:w="0" w:type="auto"/>
          </w:tcPr>
          <w:p w:rsidR="002412DC" w:rsidRPr="000C0DAF" w:rsidRDefault="002412DC" w:rsidP="004D4137">
            <w:pPr>
              <w:spacing w:after="0" w:line="240" w:lineRule="auto"/>
              <w:jc w:val="center"/>
              <w:rPr>
                <w:color w:val="000000"/>
              </w:rPr>
            </w:pPr>
            <w:r w:rsidRPr="000C0DAF">
              <w:rPr>
                <w:color w:val="000000"/>
              </w:rPr>
              <w:t>2.1</w:t>
            </w:r>
          </w:p>
        </w:tc>
        <w:tc>
          <w:tcPr>
            <w:tcW w:w="0" w:type="auto"/>
          </w:tcPr>
          <w:p w:rsidR="002412DC" w:rsidRPr="000C0DAF" w:rsidRDefault="002412DC" w:rsidP="004D4137">
            <w:pPr>
              <w:spacing w:after="0" w:line="240" w:lineRule="auto"/>
              <w:jc w:val="center"/>
              <w:rPr>
                <w:color w:val="000000"/>
              </w:rPr>
            </w:pPr>
            <w:r w:rsidRPr="000C0DAF">
              <w:rPr>
                <w:color w:val="000000"/>
              </w:rPr>
              <w:t>13</w:t>
            </w:r>
          </w:p>
        </w:tc>
        <w:tc>
          <w:tcPr>
            <w:tcW w:w="0" w:type="auto"/>
          </w:tcPr>
          <w:p w:rsidR="002412DC" w:rsidRPr="000C0DAF" w:rsidRDefault="000F7569" w:rsidP="004D4137">
            <w:pPr>
              <w:spacing w:after="0" w:line="240" w:lineRule="auto"/>
              <w:jc w:val="center"/>
              <w:rPr>
                <w:color w:val="000000"/>
              </w:rPr>
            </w:pPr>
            <w:r>
              <w:rPr>
                <w:color w:val="000000"/>
              </w:rPr>
              <w:t>2.1</w:t>
            </w:r>
          </w:p>
        </w:tc>
        <w:tc>
          <w:tcPr>
            <w:tcW w:w="0" w:type="auto"/>
          </w:tcPr>
          <w:p w:rsidR="002412DC" w:rsidRPr="000C0DAF" w:rsidRDefault="000F7569" w:rsidP="004D4137">
            <w:pPr>
              <w:spacing w:after="0" w:line="240" w:lineRule="auto"/>
              <w:jc w:val="center"/>
              <w:rPr>
                <w:color w:val="000000"/>
              </w:rPr>
            </w:pPr>
            <w:r>
              <w:rPr>
                <w:color w:val="000000"/>
              </w:rPr>
              <w:t>14</w:t>
            </w:r>
          </w:p>
        </w:tc>
        <w:tc>
          <w:tcPr>
            <w:tcW w:w="0" w:type="auto"/>
          </w:tcPr>
          <w:p w:rsidR="002412DC" w:rsidRPr="000C0DAF" w:rsidRDefault="002412DC" w:rsidP="004D4137">
            <w:pPr>
              <w:spacing w:after="0" w:line="240" w:lineRule="auto"/>
              <w:jc w:val="center"/>
              <w:rPr>
                <w:color w:val="000000"/>
              </w:rPr>
            </w:pPr>
            <w:r w:rsidRPr="000C0DAF">
              <w:rPr>
                <w:color w:val="000000"/>
              </w:rPr>
              <w:t>2.5</w:t>
            </w:r>
          </w:p>
        </w:tc>
        <w:tc>
          <w:tcPr>
            <w:tcW w:w="0" w:type="auto"/>
          </w:tcPr>
          <w:p w:rsidR="002412DC" w:rsidRPr="000C0DAF" w:rsidRDefault="002412DC" w:rsidP="004D4137">
            <w:pPr>
              <w:spacing w:after="0" w:line="240" w:lineRule="auto"/>
              <w:jc w:val="center"/>
              <w:rPr>
                <w:color w:val="000000"/>
              </w:rPr>
            </w:pPr>
            <w:r w:rsidRPr="000C0DAF">
              <w:rPr>
                <w:color w:val="000000"/>
              </w:rPr>
              <w:t>13</w:t>
            </w:r>
          </w:p>
        </w:tc>
        <w:tc>
          <w:tcPr>
            <w:tcW w:w="0" w:type="auto"/>
          </w:tcPr>
          <w:p w:rsidR="002412DC" w:rsidRPr="000C0DAF" w:rsidRDefault="000F7569" w:rsidP="004D4137">
            <w:pPr>
              <w:spacing w:after="0" w:line="240" w:lineRule="auto"/>
              <w:jc w:val="center"/>
              <w:rPr>
                <w:color w:val="000000"/>
              </w:rPr>
            </w:pPr>
            <w:r>
              <w:rPr>
                <w:color w:val="000000"/>
              </w:rPr>
              <w:t>2.5</w:t>
            </w:r>
          </w:p>
        </w:tc>
        <w:tc>
          <w:tcPr>
            <w:tcW w:w="0" w:type="auto"/>
          </w:tcPr>
          <w:p w:rsidR="002412DC" w:rsidRPr="000C0DAF" w:rsidRDefault="000F7569" w:rsidP="004D4137">
            <w:pPr>
              <w:spacing w:after="0" w:line="240" w:lineRule="auto"/>
              <w:jc w:val="center"/>
              <w:rPr>
                <w:color w:val="000000"/>
              </w:rPr>
            </w:pPr>
            <w:r>
              <w:rPr>
                <w:color w:val="000000"/>
              </w:rPr>
              <w:t>14</w:t>
            </w:r>
          </w:p>
        </w:tc>
      </w:tr>
      <w:tr w:rsidR="002412DC" w:rsidTr="00F30384">
        <w:tc>
          <w:tcPr>
            <w:tcW w:w="0" w:type="auto"/>
          </w:tcPr>
          <w:p w:rsidR="002412DC" w:rsidRPr="000C0DAF" w:rsidRDefault="002412DC" w:rsidP="004D4137">
            <w:pPr>
              <w:spacing w:after="0" w:line="240" w:lineRule="auto"/>
              <w:rPr>
                <w:color w:val="000000"/>
              </w:rPr>
            </w:pPr>
            <w:r w:rsidRPr="000C0DAF">
              <w:rPr>
                <w:color w:val="000000"/>
              </w:rPr>
              <w:t>Long Distance</w:t>
            </w:r>
          </w:p>
        </w:tc>
        <w:tc>
          <w:tcPr>
            <w:tcW w:w="0" w:type="auto"/>
          </w:tcPr>
          <w:p w:rsidR="002412DC" w:rsidRPr="000C0DAF" w:rsidRDefault="002412DC" w:rsidP="004D4137">
            <w:pPr>
              <w:spacing w:after="0" w:line="240" w:lineRule="auto"/>
              <w:jc w:val="center"/>
              <w:rPr>
                <w:color w:val="000000"/>
              </w:rPr>
            </w:pPr>
            <w:r w:rsidRPr="000C0DAF">
              <w:rPr>
                <w:color w:val="000000"/>
              </w:rPr>
              <w:t>10.6</w:t>
            </w:r>
          </w:p>
        </w:tc>
        <w:tc>
          <w:tcPr>
            <w:tcW w:w="0" w:type="auto"/>
          </w:tcPr>
          <w:p w:rsidR="002412DC" w:rsidRPr="000C0DAF" w:rsidRDefault="002412DC" w:rsidP="004D4137">
            <w:pPr>
              <w:spacing w:after="0" w:line="240" w:lineRule="auto"/>
              <w:jc w:val="center"/>
              <w:rPr>
                <w:color w:val="000000"/>
              </w:rPr>
            </w:pPr>
            <w:r w:rsidRPr="000C0DAF">
              <w:rPr>
                <w:color w:val="000000"/>
              </w:rPr>
              <w:t>75</w:t>
            </w:r>
          </w:p>
        </w:tc>
        <w:tc>
          <w:tcPr>
            <w:tcW w:w="0" w:type="auto"/>
          </w:tcPr>
          <w:p w:rsidR="002412DC" w:rsidRPr="000C0DAF" w:rsidRDefault="000F7569" w:rsidP="004D4137">
            <w:pPr>
              <w:spacing w:after="0" w:line="240" w:lineRule="auto"/>
              <w:jc w:val="center"/>
              <w:rPr>
                <w:color w:val="000000"/>
              </w:rPr>
            </w:pPr>
            <w:r>
              <w:rPr>
                <w:color w:val="000000"/>
              </w:rPr>
              <w:t>7.4</w:t>
            </w:r>
          </w:p>
        </w:tc>
        <w:tc>
          <w:tcPr>
            <w:tcW w:w="0" w:type="auto"/>
          </w:tcPr>
          <w:p w:rsidR="002412DC" w:rsidRPr="000C0DAF" w:rsidRDefault="0019690E" w:rsidP="004D4137">
            <w:pPr>
              <w:spacing w:after="0" w:line="240" w:lineRule="auto"/>
              <w:jc w:val="center"/>
              <w:rPr>
                <w:color w:val="000000"/>
              </w:rPr>
            </w:pPr>
            <w:r>
              <w:rPr>
                <w:color w:val="000000"/>
              </w:rPr>
              <w:t>55</w:t>
            </w:r>
          </w:p>
        </w:tc>
        <w:tc>
          <w:tcPr>
            <w:tcW w:w="0" w:type="auto"/>
          </w:tcPr>
          <w:p w:rsidR="002412DC" w:rsidRPr="000C0DAF" w:rsidRDefault="002412DC" w:rsidP="004D4137">
            <w:pPr>
              <w:spacing w:after="0" w:line="240" w:lineRule="auto"/>
              <w:jc w:val="center"/>
              <w:rPr>
                <w:color w:val="000000"/>
              </w:rPr>
            </w:pPr>
            <w:r w:rsidRPr="000C0DAF">
              <w:rPr>
                <w:color w:val="000000"/>
              </w:rPr>
              <w:t>16</w:t>
            </w:r>
          </w:p>
        </w:tc>
        <w:tc>
          <w:tcPr>
            <w:tcW w:w="0" w:type="auto"/>
          </w:tcPr>
          <w:p w:rsidR="002412DC" w:rsidRPr="000C0DAF" w:rsidRDefault="002412DC" w:rsidP="004D4137">
            <w:pPr>
              <w:spacing w:after="0" w:line="240" w:lineRule="auto"/>
              <w:jc w:val="center"/>
              <w:rPr>
                <w:color w:val="000000"/>
              </w:rPr>
            </w:pPr>
            <w:r w:rsidRPr="000C0DAF">
              <w:rPr>
                <w:color w:val="000000"/>
              </w:rPr>
              <w:t>95</w:t>
            </w:r>
          </w:p>
        </w:tc>
        <w:tc>
          <w:tcPr>
            <w:tcW w:w="0" w:type="auto"/>
          </w:tcPr>
          <w:p w:rsidR="002412DC" w:rsidRPr="000C0DAF" w:rsidRDefault="000F7569" w:rsidP="004D4137">
            <w:pPr>
              <w:spacing w:after="0" w:line="240" w:lineRule="auto"/>
              <w:jc w:val="center"/>
              <w:rPr>
                <w:color w:val="000000"/>
              </w:rPr>
            </w:pPr>
            <w:r>
              <w:rPr>
                <w:color w:val="000000"/>
              </w:rPr>
              <w:t>10.5</w:t>
            </w:r>
          </w:p>
        </w:tc>
        <w:tc>
          <w:tcPr>
            <w:tcW w:w="0" w:type="auto"/>
          </w:tcPr>
          <w:p w:rsidR="002412DC" w:rsidRPr="000C0DAF" w:rsidRDefault="0019690E" w:rsidP="004D4137">
            <w:pPr>
              <w:spacing w:after="0" w:line="240" w:lineRule="auto"/>
              <w:jc w:val="center"/>
              <w:rPr>
                <w:color w:val="000000"/>
              </w:rPr>
            </w:pPr>
            <w:r>
              <w:rPr>
                <w:color w:val="000000"/>
              </w:rPr>
              <w:t>70</w:t>
            </w:r>
          </w:p>
        </w:tc>
      </w:tr>
      <w:tr w:rsidR="000F7569" w:rsidTr="00F30384">
        <w:tc>
          <w:tcPr>
            <w:tcW w:w="0" w:type="auto"/>
          </w:tcPr>
          <w:p w:rsidR="000F7569" w:rsidRPr="000C0DAF" w:rsidRDefault="000F7569" w:rsidP="004D4137">
            <w:pPr>
              <w:spacing w:after="0" w:line="240" w:lineRule="auto"/>
              <w:rPr>
                <w:color w:val="000000"/>
              </w:rPr>
            </w:pPr>
            <w:r>
              <w:rPr>
                <w:color w:val="000000"/>
              </w:rPr>
              <w:t>Relay</w:t>
            </w:r>
          </w:p>
        </w:tc>
        <w:tc>
          <w:tcPr>
            <w:tcW w:w="0" w:type="auto"/>
          </w:tcPr>
          <w:p w:rsidR="000F7569" w:rsidRPr="000C0DAF" w:rsidRDefault="000F7569" w:rsidP="004D4137">
            <w:pPr>
              <w:spacing w:after="0" w:line="240" w:lineRule="auto"/>
              <w:jc w:val="center"/>
              <w:rPr>
                <w:color w:val="000000"/>
              </w:rPr>
            </w:pPr>
            <w:r>
              <w:rPr>
                <w:color w:val="000000"/>
              </w:rPr>
              <w:t>5.8</w:t>
            </w:r>
          </w:p>
        </w:tc>
        <w:tc>
          <w:tcPr>
            <w:tcW w:w="0" w:type="auto"/>
          </w:tcPr>
          <w:p w:rsidR="000F7569" w:rsidRPr="000C0DAF" w:rsidRDefault="0019690E" w:rsidP="004D4137">
            <w:pPr>
              <w:spacing w:after="0" w:line="240" w:lineRule="auto"/>
              <w:jc w:val="center"/>
              <w:rPr>
                <w:color w:val="000000"/>
              </w:rPr>
            </w:pPr>
            <w:r>
              <w:rPr>
                <w:color w:val="000000"/>
              </w:rPr>
              <w:t>40</w:t>
            </w:r>
          </w:p>
        </w:tc>
        <w:tc>
          <w:tcPr>
            <w:tcW w:w="0" w:type="auto"/>
          </w:tcPr>
          <w:p w:rsidR="000F7569" w:rsidRDefault="000F7569" w:rsidP="004D4137">
            <w:pPr>
              <w:spacing w:after="0" w:line="240" w:lineRule="auto"/>
              <w:jc w:val="center"/>
              <w:rPr>
                <w:color w:val="000000"/>
              </w:rPr>
            </w:pPr>
            <w:r>
              <w:rPr>
                <w:color w:val="000000"/>
              </w:rPr>
              <w:t>5.3</w:t>
            </w:r>
          </w:p>
        </w:tc>
        <w:tc>
          <w:tcPr>
            <w:tcW w:w="0" w:type="auto"/>
          </w:tcPr>
          <w:p w:rsidR="000F7569" w:rsidRPr="000C0DAF" w:rsidRDefault="0019690E" w:rsidP="004D4137">
            <w:pPr>
              <w:spacing w:after="0" w:line="240" w:lineRule="auto"/>
              <w:jc w:val="center"/>
              <w:rPr>
                <w:color w:val="000000"/>
              </w:rPr>
            </w:pPr>
            <w:r>
              <w:rPr>
                <w:color w:val="000000"/>
              </w:rPr>
              <w:t>35</w:t>
            </w:r>
          </w:p>
        </w:tc>
        <w:tc>
          <w:tcPr>
            <w:tcW w:w="0" w:type="auto"/>
          </w:tcPr>
          <w:p w:rsidR="000F7569" w:rsidRPr="000C0DAF" w:rsidRDefault="000F7569" w:rsidP="004D4137">
            <w:pPr>
              <w:spacing w:after="0" w:line="240" w:lineRule="auto"/>
              <w:jc w:val="center"/>
              <w:rPr>
                <w:color w:val="000000"/>
              </w:rPr>
            </w:pPr>
            <w:r>
              <w:rPr>
                <w:color w:val="000000"/>
              </w:rPr>
              <w:t>7.4</w:t>
            </w:r>
          </w:p>
        </w:tc>
        <w:tc>
          <w:tcPr>
            <w:tcW w:w="0" w:type="auto"/>
          </w:tcPr>
          <w:p w:rsidR="000F7569" w:rsidRPr="000C0DAF" w:rsidRDefault="0019690E" w:rsidP="004D4137">
            <w:pPr>
              <w:spacing w:after="0" w:line="240" w:lineRule="auto"/>
              <w:jc w:val="center"/>
              <w:rPr>
                <w:color w:val="000000"/>
              </w:rPr>
            </w:pPr>
            <w:r>
              <w:rPr>
                <w:color w:val="000000"/>
              </w:rPr>
              <w:t>45</w:t>
            </w:r>
          </w:p>
        </w:tc>
        <w:tc>
          <w:tcPr>
            <w:tcW w:w="0" w:type="auto"/>
          </w:tcPr>
          <w:p w:rsidR="000F7569" w:rsidRDefault="000F7569" w:rsidP="004D4137">
            <w:pPr>
              <w:spacing w:after="0" w:line="240" w:lineRule="auto"/>
              <w:jc w:val="center"/>
              <w:rPr>
                <w:color w:val="000000"/>
              </w:rPr>
            </w:pPr>
            <w:r>
              <w:rPr>
                <w:color w:val="000000"/>
              </w:rPr>
              <w:t>6.6</w:t>
            </w:r>
          </w:p>
        </w:tc>
        <w:tc>
          <w:tcPr>
            <w:tcW w:w="0" w:type="auto"/>
          </w:tcPr>
          <w:p w:rsidR="000F7569" w:rsidRPr="000C0DAF" w:rsidRDefault="0019690E" w:rsidP="004D4137">
            <w:pPr>
              <w:spacing w:after="0" w:line="240" w:lineRule="auto"/>
              <w:jc w:val="center"/>
              <w:rPr>
                <w:color w:val="000000"/>
              </w:rPr>
            </w:pPr>
            <w:r>
              <w:rPr>
                <w:color w:val="000000"/>
              </w:rPr>
              <w:t>40</w:t>
            </w:r>
          </w:p>
        </w:tc>
      </w:tr>
    </w:tbl>
    <w:p w:rsidR="002412DC" w:rsidRDefault="002412DC" w:rsidP="00425F64">
      <w:pPr>
        <w:rPr>
          <w:b/>
        </w:rPr>
      </w:pPr>
    </w:p>
    <w:p w:rsidR="00DA4C2C" w:rsidRDefault="003B2AAE" w:rsidP="00425F64">
      <w:r>
        <w:rPr>
          <w:b/>
        </w:rPr>
        <w:lastRenderedPageBreak/>
        <w:t>Embargoes</w:t>
      </w:r>
      <w:r w:rsidRPr="00675F06">
        <w:rPr>
          <w:b/>
        </w:rPr>
        <w:br/>
      </w:r>
      <w:r w:rsidR="00DA4C2C">
        <w:t xml:space="preserve">Competition areas are subject to the embargoes listed at </w:t>
      </w:r>
      <w:hyperlink r:id="rId13" w:history="1">
        <w:r w:rsidR="00DA4C2C" w:rsidRPr="006A1DB6">
          <w:rPr>
            <w:rStyle w:val="Hyperlink"/>
          </w:rPr>
          <w:t>http://wa.orienteering.asn.au/karrak-events/embargoes</w:t>
        </w:r>
      </w:hyperlink>
    </w:p>
    <w:p w:rsidR="00DA4C2C" w:rsidRDefault="003B2AAE" w:rsidP="00482624">
      <w:r>
        <w:rPr>
          <w:b/>
        </w:rPr>
        <w:t>Sample maps</w:t>
      </w:r>
      <w:r w:rsidRPr="00675F06">
        <w:rPr>
          <w:b/>
        </w:rPr>
        <w:br/>
      </w:r>
      <w:r w:rsidR="00DA4C2C">
        <w:t xml:space="preserve">Copies of previous map versions are available at </w:t>
      </w:r>
      <w:hyperlink r:id="rId14" w:history="1">
        <w:r w:rsidR="00DA4C2C" w:rsidRPr="006A1DB6">
          <w:rPr>
            <w:rStyle w:val="Hyperlink"/>
          </w:rPr>
          <w:t>http://wa.orienteering.asn.au/karrak-events/terrain-preview</w:t>
        </w:r>
      </w:hyperlink>
    </w:p>
    <w:p w:rsidR="00F44865" w:rsidRDefault="00F44865" w:rsidP="00F44865">
      <w:pPr>
        <w:spacing w:after="0"/>
      </w:pPr>
      <w:r>
        <w:rPr>
          <w:b/>
        </w:rPr>
        <w:t>Entries</w:t>
      </w:r>
      <w:r w:rsidRPr="00675F06">
        <w:rPr>
          <w:b/>
        </w:rPr>
        <w:br/>
      </w:r>
      <w:r>
        <w:t xml:space="preserve">Entry details, including fees and deadlines are at </w:t>
      </w:r>
      <w:hyperlink r:id="rId15" w:history="1">
        <w:r w:rsidRPr="006A1DB6">
          <w:rPr>
            <w:rStyle w:val="Hyperlink"/>
          </w:rPr>
          <w:t>http://wa.orienteering.asn.au/karrak-enter</w:t>
        </w:r>
      </w:hyperlink>
      <w:r>
        <w:t xml:space="preserve"> </w:t>
      </w:r>
      <w:r>
        <w:br/>
        <w:t xml:space="preserve">Entries are to be made via </w:t>
      </w:r>
      <w:proofErr w:type="spellStart"/>
      <w:r>
        <w:t>Eventor</w:t>
      </w:r>
      <w:proofErr w:type="spellEnd"/>
      <w:r>
        <w:t xml:space="preserve"> </w:t>
      </w:r>
      <w:hyperlink r:id="rId16" w:history="1">
        <w:r w:rsidRPr="008B2902">
          <w:rPr>
            <w:rStyle w:val="Hyperlink"/>
          </w:rPr>
          <w:t>http://eventor.orienteering.asn.au/Events</w:t>
        </w:r>
      </w:hyperlink>
      <w:r>
        <w:t xml:space="preserve"> </w:t>
      </w:r>
    </w:p>
    <w:p w:rsidR="00F44865" w:rsidRDefault="00F44865" w:rsidP="00F44865">
      <w:pPr>
        <w:rPr>
          <w:rStyle w:val="Hyperlink"/>
        </w:rPr>
      </w:pPr>
      <w:r>
        <w:t xml:space="preserve">Anyone unable to access </w:t>
      </w:r>
      <w:proofErr w:type="spellStart"/>
      <w:r>
        <w:t>Eventor</w:t>
      </w:r>
      <w:proofErr w:type="spellEnd"/>
      <w:r>
        <w:t xml:space="preserve"> should contact the </w:t>
      </w:r>
      <w:proofErr w:type="spellStart"/>
      <w:r>
        <w:t>organisers</w:t>
      </w:r>
      <w:proofErr w:type="spellEnd"/>
      <w:r>
        <w:t xml:space="preserve"> as soon as possible </w:t>
      </w:r>
      <w:hyperlink r:id="rId17" w:history="1">
        <w:r w:rsidRPr="006A1DB6">
          <w:rPr>
            <w:rStyle w:val="Hyperlink"/>
          </w:rPr>
          <w:t>http://wa.orienteering.asn.au/karrak-contacts</w:t>
        </w:r>
      </w:hyperlink>
    </w:p>
    <w:p w:rsidR="003B2AAE" w:rsidRDefault="003B2AAE" w:rsidP="00F44865">
      <w:r>
        <w:rPr>
          <w:b/>
        </w:rPr>
        <w:t>Training opportunities</w:t>
      </w:r>
      <w:r w:rsidRPr="00675F06">
        <w:rPr>
          <w:b/>
        </w:rPr>
        <w:br/>
      </w:r>
      <w:proofErr w:type="gramStart"/>
      <w:r>
        <w:t>There</w:t>
      </w:r>
      <w:proofErr w:type="gramEnd"/>
      <w:r>
        <w:t xml:space="preserve"> will be no specific Model Events.</w:t>
      </w:r>
      <w:r>
        <w:br/>
        <w:t>The terrain for the W.A. Long Distance Championships on Saturday 27</w:t>
      </w:r>
      <w:r w:rsidRPr="00612A33">
        <w:rPr>
          <w:vertAlign w:val="superscript"/>
        </w:rPr>
        <w:t>th</w:t>
      </w:r>
      <w:r>
        <w:t xml:space="preserve"> September has similarities to a substantial section of the Australian Middle Distance Championships area; there is no single area that is representative of the entire Middle Distance map.</w:t>
      </w:r>
      <w:r>
        <w:br/>
        <w:t>The Australian Sprint Championships are on a typical highly-developed campus with no significant contour complications.</w:t>
      </w:r>
      <w:r>
        <w:br/>
        <w:t>The non-championship events on 1</w:t>
      </w:r>
      <w:r w:rsidRPr="00612A33">
        <w:rPr>
          <w:vertAlign w:val="superscript"/>
        </w:rPr>
        <w:t>st</w:t>
      </w:r>
      <w:r>
        <w:t xml:space="preserve"> and 2</w:t>
      </w:r>
      <w:r w:rsidRPr="00612A33">
        <w:rPr>
          <w:vertAlign w:val="superscript"/>
        </w:rPr>
        <w:t>nd</w:t>
      </w:r>
      <w:r>
        <w:t xml:space="preserve"> of October are on terrain similar to the Australian Long Distance and Relay Championships. The warm-up area for the Australian Long Distance Championships is on a section of the map being used for that event and for the Australian Relay Championships. It illustrates most aspects of the mapping but not the character of the more extensive slow-running portions of the map.</w:t>
      </w:r>
    </w:p>
    <w:p w:rsidR="00C41ACE" w:rsidRDefault="00C41ACE" w:rsidP="00C41ACE">
      <w:pPr>
        <w:rPr>
          <w:color w:val="7030A0"/>
        </w:rPr>
      </w:pPr>
      <w:r>
        <w:rPr>
          <w:b/>
        </w:rPr>
        <w:t>IOF athlete IDs</w:t>
      </w:r>
      <w:r w:rsidRPr="00675F06">
        <w:rPr>
          <w:b/>
        </w:rPr>
        <w:br/>
      </w:r>
      <w:r>
        <w:t xml:space="preserve">All M/W21E entrants must have an IOF athlete ID number. Previous elite competitors should check that they have a valid new (re-issued in March) ID. Go to </w:t>
      </w:r>
      <w:hyperlink r:id="rId18" w:history="1">
        <w:r w:rsidRPr="00081DA9">
          <w:rPr>
            <w:rStyle w:val="Hyperlink"/>
          </w:rPr>
          <w:t>http://iofranking.osport.ee/iofranking/Athletes</w:t>
        </w:r>
      </w:hyperlink>
      <w:r>
        <w:t xml:space="preserve"> Competitors who do not already have an IOF world ranking ID must request one using the template available at </w:t>
      </w:r>
      <w:hyperlink r:id="rId19" w:history="1">
        <w:r w:rsidRPr="00384F19">
          <w:rPr>
            <w:rStyle w:val="Hyperlink"/>
          </w:rPr>
          <w:t>http://orienteering.org/foot-orienteering/event-organizing/world-ranking-instructions/</w:t>
        </w:r>
      </w:hyperlink>
      <w:r>
        <w:t xml:space="preserve">  and send the information to the carnival </w:t>
      </w:r>
      <w:proofErr w:type="spellStart"/>
      <w:r>
        <w:t>organisers</w:t>
      </w:r>
      <w:proofErr w:type="spellEnd"/>
      <w:r>
        <w:t xml:space="preserve"> via </w:t>
      </w:r>
      <w:hyperlink r:id="rId20" w:history="1">
        <w:r w:rsidRPr="00664675">
          <w:rPr>
            <w:rStyle w:val="Hyperlink"/>
          </w:rPr>
          <w:t>http://wa.orienteering.asn.au/karrak-contacts</w:t>
        </w:r>
      </w:hyperlink>
    </w:p>
    <w:p w:rsidR="00DA4C2C" w:rsidRDefault="00DA4C2C" w:rsidP="00DA4C2C">
      <w:r>
        <w:rPr>
          <w:b/>
        </w:rPr>
        <w:t>Accommodation</w:t>
      </w:r>
      <w:r w:rsidR="00F44865">
        <w:rPr>
          <w:b/>
        </w:rPr>
        <w:t xml:space="preserve"> and transport</w:t>
      </w:r>
      <w:r w:rsidRPr="00675F06">
        <w:rPr>
          <w:b/>
        </w:rPr>
        <w:br/>
      </w:r>
      <w:r>
        <w:t xml:space="preserve">Links to accommodation information are at </w:t>
      </w:r>
      <w:hyperlink r:id="rId21" w:history="1">
        <w:r w:rsidRPr="006A1DB6">
          <w:rPr>
            <w:rStyle w:val="Hyperlink"/>
          </w:rPr>
          <w:t>http://wa.orienteering.asn.au/karrak-travel-and-accommodation</w:t>
        </w:r>
      </w:hyperlink>
      <w:r>
        <w:t xml:space="preserve"> Competitors must arrange their own transport. All major vehicle hire companies operate from Perth.</w:t>
      </w:r>
    </w:p>
    <w:p w:rsidR="00DA4C2C" w:rsidRDefault="00DA4C2C" w:rsidP="00DA4C2C">
      <w:r>
        <w:rPr>
          <w:b/>
        </w:rPr>
        <w:t>Catering</w:t>
      </w:r>
      <w:r w:rsidRPr="00675F06">
        <w:rPr>
          <w:b/>
        </w:rPr>
        <w:br/>
      </w:r>
      <w:proofErr w:type="gramStart"/>
      <w:r>
        <w:t>There</w:t>
      </w:r>
      <w:proofErr w:type="gramEnd"/>
      <w:r>
        <w:t xml:space="preserve"> will be lunch and coffee outlets at all events.  </w:t>
      </w:r>
    </w:p>
    <w:p w:rsidR="00DA4C2C" w:rsidRDefault="00DA4C2C" w:rsidP="00DA4C2C">
      <w:r>
        <w:rPr>
          <w:noProof/>
        </w:rPr>
        <w:drawing>
          <wp:anchor distT="0" distB="0" distL="114300" distR="114300" simplePos="0" relativeHeight="251662336" behindDoc="1" locked="0" layoutInCell="1" allowOverlap="1" wp14:anchorId="0BFA0FD1" wp14:editId="133D8D4F">
            <wp:simplePos x="0" y="0"/>
            <wp:positionH relativeFrom="column">
              <wp:posOffset>3971925</wp:posOffset>
            </wp:positionH>
            <wp:positionV relativeFrom="paragraph">
              <wp:posOffset>317500</wp:posOffset>
            </wp:positionV>
            <wp:extent cx="1876425" cy="568325"/>
            <wp:effectExtent l="0" t="0" r="9525" b="3175"/>
            <wp:wrapTight wrapText="bothSides">
              <wp:wrapPolygon edited="0">
                <wp:start x="0" y="0"/>
                <wp:lineTo x="0" y="20997"/>
                <wp:lineTo x="21490" y="20997"/>
                <wp:lineTo x="214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AWA logo jpeg.jpg"/>
                    <pic:cNvPicPr/>
                  </pic:nvPicPr>
                  <pic:blipFill>
                    <a:blip r:embed="rId22">
                      <a:extLst>
                        <a:ext uri="{28A0092B-C50C-407E-A947-70E740481C1C}">
                          <a14:useLocalDpi xmlns:a14="http://schemas.microsoft.com/office/drawing/2010/main" val="0"/>
                        </a:ext>
                      </a:extLst>
                    </a:blip>
                    <a:stretch>
                      <a:fillRect/>
                    </a:stretch>
                  </pic:blipFill>
                  <pic:spPr>
                    <a:xfrm>
                      <a:off x="0" y="0"/>
                      <a:ext cx="1876425" cy="568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B62D502" wp14:editId="5992883D">
            <wp:simplePos x="0" y="0"/>
            <wp:positionH relativeFrom="column">
              <wp:posOffset>2009775</wp:posOffset>
            </wp:positionH>
            <wp:positionV relativeFrom="paragraph">
              <wp:posOffset>-95251</wp:posOffset>
            </wp:positionV>
            <wp:extent cx="1809750" cy="1436769"/>
            <wp:effectExtent l="0" t="0" r="0" b="0"/>
            <wp:wrapTight wrapText="bothSides">
              <wp:wrapPolygon edited="0">
                <wp:start x="0" y="0"/>
                <wp:lineTo x="0" y="21199"/>
                <wp:lineTo x="21373" y="21199"/>
                <wp:lineTo x="213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K.jpg"/>
                    <pic:cNvPicPr/>
                  </pic:nvPicPr>
                  <pic:blipFill>
                    <a:blip r:embed="rId23">
                      <a:extLst>
                        <a:ext uri="{28A0092B-C50C-407E-A947-70E740481C1C}">
                          <a14:useLocalDpi xmlns:a14="http://schemas.microsoft.com/office/drawing/2010/main" val="0"/>
                        </a:ext>
                      </a:extLst>
                    </a:blip>
                    <a:stretch>
                      <a:fillRect/>
                    </a:stretch>
                  </pic:blipFill>
                  <pic:spPr>
                    <a:xfrm>
                      <a:off x="0" y="0"/>
                      <a:ext cx="1815522" cy="144135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581762F" wp14:editId="329FC3BD">
            <wp:simplePos x="0" y="0"/>
            <wp:positionH relativeFrom="margin">
              <wp:align>left</wp:align>
            </wp:positionH>
            <wp:positionV relativeFrom="paragraph">
              <wp:posOffset>334010</wp:posOffset>
            </wp:positionV>
            <wp:extent cx="2038350" cy="618490"/>
            <wp:effectExtent l="0" t="0" r="0" b="0"/>
            <wp:wrapTight wrapText="bothSides">
              <wp:wrapPolygon edited="0">
                <wp:start x="0" y="0"/>
                <wp:lineTo x="0" y="20624"/>
                <wp:lineTo x="21398" y="20624"/>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pg"/>
                    <pic:cNvPicPr/>
                  </pic:nvPicPr>
                  <pic:blipFill>
                    <a:blip r:embed="rId24">
                      <a:extLst>
                        <a:ext uri="{28A0092B-C50C-407E-A947-70E740481C1C}">
                          <a14:useLocalDpi xmlns:a14="http://schemas.microsoft.com/office/drawing/2010/main" val="0"/>
                        </a:ext>
                      </a:extLst>
                    </a:blip>
                    <a:stretch>
                      <a:fillRect/>
                    </a:stretch>
                  </pic:blipFill>
                  <pic:spPr>
                    <a:xfrm>
                      <a:off x="0" y="0"/>
                      <a:ext cx="2038350" cy="61849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3B2AAE" w:rsidRDefault="003B2AAE" w:rsidP="00425F64">
      <w:pPr>
        <w:rPr>
          <w:color w:val="7030A0"/>
        </w:rPr>
      </w:pPr>
    </w:p>
    <w:p w:rsidR="003B2AAE" w:rsidRDefault="003B2AAE"/>
    <w:sectPr w:rsidR="003B2AAE" w:rsidSect="00C41ACE">
      <w:pgSz w:w="12240" w:h="15840"/>
      <w:pgMar w:top="1440"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4A"/>
    <w:rsid w:val="000647CB"/>
    <w:rsid w:val="00077688"/>
    <w:rsid w:val="000F7569"/>
    <w:rsid w:val="00136590"/>
    <w:rsid w:val="0019690E"/>
    <w:rsid w:val="002412DC"/>
    <w:rsid w:val="0029585F"/>
    <w:rsid w:val="002F6507"/>
    <w:rsid w:val="00314AE9"/>
    <w:rsid w:val="003A7493"/>
    <w:rsid w:val="003B2AAE"/>
    <w:rsid w:val="003C4CF0"/>
    <w:rsid w:val="00400B7F"/>
    <w:rsid w:val="00405056"/>
    <w:rsid w:val="00425F64"/>
    <w:rsid w:val="00482624"/>
    <w:rsid w:val="005263B9"/>
    <w:rsid w:val="005E666C"/>
    <w:rsid w:val="00612A33"/>
    <w:rsid w:val="006428D5"/>
    <w:rsid w:val="00675F06"/>
    <w:rsid w:val="0074743C"/>
    <w:rsid w:val="00943F4A"/>
    <w:rsid w:val="009B0953"/>
    <w:rsid w:val="009B7BF7"/>
    <w:rsid w:val="00A83203"/>
    <w:rsid w:val="00A9442A"/>
    <w:rsid w:val="00AC7581"/>
    <w:rsid w:val="00B85340"/>
    <w:rsid w:val="00BE2156"/>
    <w:rsid w:val="00C3043A"/>
    <w:rsid w:val="00C41ACE"/>
    <w:rsid w:val="00C75DCA"/>
    <w:rsid w:val="00CF3CD2"/>
    <w:rsid w:val="00D56C04"/>
    <w:rsid w:val="00DA4C2C"/>
    <w:rsid w:val="00DA66DC"/>
    <w:rsid w:val="00DE0232"/>
    <w:rsid w:val="00EB2998"/>
    <w:rsid w:val="00F075B7"/>
    <w:rsid w:val="00F37364"/>
    <w:rsid w:val="00F44865"/>
    <w:rsid w:val="00FE0F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C0DA32-D85A-4F87-A2E0-B4A8877E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42A"/>
    <w:pPr>
      <w:spacing w:after="160" w:line="259"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DA66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75DCA"/>
    <w:rPr>
      <w:rFonts w:ascii="Times New Roman" w:hAnsi="Times New Roman" w:cs="Times New Roman"/>
      <w:sz w:val="2"/>
      <w:lang w:val="en-US" w:eastAsia="en-US"/>
    </w:rPr>
  </w:style>
  <w:style w:type="character" w:styleId="Hyperlink">
    <w:name w:val="Hyperlink"/>
    <w:basedOn w:val="DefaultParagraphFont"/>
    <w:uiPriority w:val="99"/>
    <w:rsid w:val="002412DC"/>
    <w:rPr>
      <w:rFonts w:cs="Times New Roman"/>
      <w:color w:val="0000FF"/>
      <w:u w:val="single"/>
    </w:rPr>
  </w:style>
  <w:style w:type="character" w:styleId="FollowedHyperlink">
    <w:name w:val="FollowedHyperlink"/>
    <w:basedOn w:val="DefaultParagraphFont"/>
    <w:uiPriority w:val="99"/>
    <w:semiHidden/>
    <w:unhideWhenUsed/>
    <w:rsid w:val="00DA4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orienteering.asn.au/karrak-events/event-locations" TargetMode="External"/><Relationship Id="rId13" Type="http://schemas.openxmlformats.org/officeDocument/2006/relationships/hyperlink" Target="http://wa.orienteering.asn.au/karrak-events/embargoes" TargetMode="External"/><Relationship Id="rId18" Type="http://schemas.openxmlformats.org/officeDocument/2006/relationships/hyperlink" Target="http://iofranking.osport.ee/iofranking/Athlet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a.orienteering.asn.au/karrak-travel-and-accommodation" TargetMode="External"/><Relationship Id="rId7" Type="http://schemas.openxmlformats.org/officeDocument/2006/relationships/hyperlink" Target="http://eventor.orienteering.asn.au/Events" TargetMode="External"/><Relationship Id="rId12" Type="http://schemas.openxmlformats.org/officeDocument/2006/relationships/hyperlink" Target="http://wa.orienteering.asn.au/karrak-events/event-details" TargetMode="External"/><Relationship Id="rId17" Type="http://schemas.openxmlformats.org/officeDocument/2006/relationships/hyperlink" Target="http://wa.orienteering.asn.au/karrak-contact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ventor.orienteering.asn.au/Events" TargetMode="External"/><Relationship Id="rId20" Type="http://schemas.openxmlformats.org/officeDocument/2006/relationships/hyperlink" Target="http://www.wa.orienteering.asn.au/karrak-contacts" TargetMode="External"/><Relationship Id="rId1" Type="http://schemas.openxmlformats.org/officeDocument/2006/relationships/styles" Target="styles.xml"/><Relationship Id="rId6" Type="http://schemas.openxmlformats.org/officeDocument/2006/relationships/hyperlink" Target="http://wa.orienteering.asn.au/karrak-contacts" TargetMode="External"/><Relationship Id="rId11" Type="http://schemas.openxmlformats.org/officeDocument/2006/relationships/hyperlink" Target="http://wa.orienteering.asn.au/karrak-events/event-details" TargetMode="External"/><Relationship Id="rId24" Type="http://schemas.openxmlformats.org/officeDocument/2006/relationships/image" Target="media/image4.jpg"/><Relationship Id="rId5" Type="http://schemas.openxmlformats.org/officeDocument/2006/relationships/hyperlink" Target="http://wa.orienteering.asn.au/karrak-karnival" TargetMode="External"/><Relationship Id="rId15" Type="http://schemas.openxmlformats.org/officeDocument/2006/relationships/hyperlink" Target="http://wa.orienteering.asn.au/karrak-enter" TargetMode="External"/><Relationship Id="rId23" Type="http://schemas.openxmlformats.org/officeDocument/2006/relationships/image" Target="media/image3.jpg"/><Relationship Id="rId10" Type="http://schemas.openxmlformats.org/officeDocument/2006/relationships/hyperlink" Target="http://wa.orienteering.asn.au/karrak-events/event-details" TargetMode="External"/><Relationship Id="rId19" Type="http://schemas.openxmlformats.org/officeDocument/2006/relationships/hyperlink" Target="http://orienteering.org/foot-orienteering/event-organizing/world-ranking-instructions/" TargetMode="External"/><Relationship Id="rId4" Type="http://schemas.openxmlformats.org/officeDocument/2006/relationships/image" Target="media/image1.jpg"/><Relationship Id="rId9" Type="http://schemas.openxmlformats.org/officeDocument/2006/relationships/hyperlink" Target="http://wa.orienteering.asn.au/karrak-events/event-details" TargetMode="External"/><Relationship Id="rId14" Type="http://schemas.openxmlformats.org/officeDocument/2006/relationships/hyperlink" Target="http://wa.orienteering.asn.au/karrak-events/terrain-preview" TargetMode="Externa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Invitation to competitors and Bulletin 1 (WRE and NOL)</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competitors and Bulletin 1 (WRE and NOL)</dc:title>
  <dc:subject/>
  <dc:creator>Ian Fletcher</dc:creator>
  <cp:keywords/>
  <dc:description/>
  <cp:lastModifiedBy>Nick Dent</cp:lastModifiedBy>
  <cp:revision>2</cp:revision>
  <dcterms:created xsi:type="dcterms:W3CDTF">2014-05-29T03:52:00Z</dcterms:created>
  <dcterms:modified xsi:type="dcterms:W3CDTF">2014-05-29T03:52:00Z</dcterms:modified>
</cp:coreProperties>
</file>